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1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May 28, 2026</w:t>
      </w:r>
    </w:p>
    <w:p>
      <w:pPr>
        <w:pStyle w:val="TextBody"/>
        <w:bidi w:val="0"/>
        <w:spacing w:before="0" w:after="0"/>
        <w:jc w:val="center"/>
        <w:rPr/>
      </w:pPr>
      <w:r>
        <w:rPr/>
        <w:drawing>
          <wp:inline distT="0" distB="0" distL="0" distR="0">
            <wp:extent cx="20574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905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ADVANCED FLOWER CAPITAL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001-39995</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85-1807125</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477 S. Rosemary Ave., Suite 301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561-510-2390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AFCG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28, 2026, Advanced Flower Capital Inc. (the “Company”) held its 2026 Annual Meeting of Shareholders (the “2026 Annual Meeting”). At the 2026 Annual Meeting, the shareholders of the Company’s common stock voted on (i) the reelection of two director nominees (Proposal 1) and (ii) the ratification of the appointment of CohnReznick LLP as the Company’s independent registered public accounting firm for the year ending December 31, 2026 (Proposal 2). The results of the votes are set forth below.</w:t>
      </w:r>
    </w:p>
    <w:p>
      <w:pPr>
        <w:pStyle w:val="TextBody"/>
        <w:bidi w:val="0"/>
        <w:spacing w:lineRule="auto" w:line="288" w:before="20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Proposal 1 – Election of Class III Directors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shareholders voted in favor of the reelection of the two Class III director nominees for a term of office expiring at the 2029 Annual Meeting of Shareholders or until their successors are duly elected and qualified.</w:t>
      </w:r>
    </w:p>
    <w:p>
      <w:pPr>
        <w:pStyle w:val="TextBody"/>
        <w:bidi w:val="0"/>
        <w:spacing w:lineRule="auto" w:line="240" w:before="0" w:after="0"/>
        <w:jc w:val="left"/>
        <w:rPr>
          <w:color w:val="000000"/>
          <w:shd w:fill="FFFFFF" w:val="clear"/>
        </w:rPr>
      </w:pPr>
      <w:r>
        <w:rPr>
          <w:color w:val="000000"/>
          <w:shd w:fill="FFFFFF" w:val="clear"/>
        </w:rPr>
        <w:t> </w:t>
      </w:r>
    </w:p>
    <w:tbl>
      <w:tblPr>
        <w:tblW w:w="6098" w:type="dxa"/>
        <w:jc w:val="left"/>
        <w:tblInd w:w="0" w:type="dxa"/>
        <w:tblLayout w:type="fixed"/>
        <w:tblCellMar>
          <w:top w:w="28" w:type="dxa"/>
          <w:left w:w="28" w:type="dxa"/>
          <w:bottom w:w="28" w:type="dxa"/>
          <w:right w:w="28" w:type="dxa"/>
        </w:tblCellMar>
      </w:tblPr>
      <w:tblGrid>
        <w:gridCol w:w="614"/>
        <w:gridCol w:w="540"/>
        <w:gridCol w:w="541"/>
        <w:gridCol w:w="109"/>
        <w:gridCol w:w="109"/>
        <w:gridCol w:w="109"/>
        <w:gridCol w:w="309"/>
        <w:gridCol w:w="309"/>
        <w:gridCol w:w="313"/>
        <w:gridCol w:w="109"/>
        <w:gridCol w:w="109"/>
        <w:gridCol w:w="109"/>
        <w:gridCol w:w="295"/>
        <w:gridCol w:w="295"/>
        <w:gridCol w:w="296"/>
        <w:gridCol w:w="109"/>
        <w:gridCol w:w="109"/>
        <w:gridCol w:w="109"/>
        <w:gridCol w:w="470"/>
        <w:gridCol w:w="470"/>
        <w:gridCol w:w="665"/>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C. Frank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9,250,135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59,231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6,465,790</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Marnie Sudnow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9,234,815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6,465,790</w:t>
            </w:r>
          </w:p>
        </w:tc>
      </w:tr>
    </w:tbl>
    <w:p>
      <w:pPr>
        <w:pStyle w:val="TextBody"/>
        <w:bidi w:val="0"/>
        <w:spacing w:lineRule="auto" w:line="288" w:before="20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Proposal 2 – Ratification of Appointment of CohnReznick LLP</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shareholders approved the ratification of the appointment of CohnReznick LLP as the Company’s independent registered public accounting firm for the year ending December 31, 2026.</w:t>
      </w:r>
    </w:p>
    <w:p>
      <w:pPr>
        <w:pStyle w:val="TextBody"/>
        <w:bidi w:val="0"/>
        <w:spacing w:lineRule="auto" w:line="240" w:before="0" w:after="0"/>
        <w:jc w:val="left"/>
        <w:rPr>
          <w:color w:val="000000"/>
          <w:shd w:fill="FFFFFF" w:val="clear"/>
        </w:rPr>
      </w:pPr>
      <w:r>
        <w:rPr>
          <w:color w:val="000000"/>
          <w:shd w:fill="FFFFFF" w:val="clear"/>
        </w:rPr>
        <w:t> </w:t>
      </w:r>
    </w:p>
    <w:tbl>
      <w:tblPr>
        <w:tblW w:w="5199"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259"/>
        <w:gridCol w:w="259"/>
        <w:gridCol w:w="263"/>
        <w:gridCol w:w="109"/>
        <w:gridCol w:w="109"/>
        <w:gridCol w:w="109"/>
        <w:gridCol w:w="259"/>
        <w:gridCol w:w="259"/>
        <w:gridCol w:w="263"/>
        <w:gridCol w:w="109"/>
        <w:gridCol w:w="109"/>
        <w:gridCol w:w="109"/>
        <w:gridCol w:w="470"/>
        <w:gridCol w:w="470"/>
        <w:gridCol w:w="665"/>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w:t>
            </w:r>
          </w:p>
        </w:tc>
      </w:tr>
      <w:tr>
        <w:trPr/>
        <w:tc>
          <w:tcPr>
            <w:tcW w:w="105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16,311,616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165,991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103,697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515" w:type="dxa"/>
        <w:jc w:val="left"/>
        <w:tblInd w:w="0" w:type="dxa"/>
        <w:tblLayout w:type="fixed"/>
        <w:tblCellMar>
          <w:top w:w="28" w:type="dxa"/>
          <w:left w:w="28" w:type="dxa"/>
          <w:bottom w:w="28" w:type="dxa"/>
          <w:right w:w="28" w:type="dxa"/>
        </w:tblCellMar>
      </w:tblPr>
      <w:tblGrid>
        <w:gridCol w:w="629"/>
        <w:gridCol w:w="554"/>
        <w:gridCol w:w="557"/>
        <w:gridCol w:w="542"/>
        <w:gridCol w:w="542"/>
        <w:gridCol w:w="542"/>
        <w:gridCol w:w="914"/>
        <w:gridCol w:w="914"/>
        <w:gridCol w:w="132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ADVANCED FLOWER CAPITAL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28, 2026</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549</Words>
  <Characters>3012</Characters>
  <CharactersWithSpaces>3505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