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Stoney Lonesome HF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1,445,577.00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1,445,577.00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1,445,577.00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1,445,577.00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1,445,577.00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1,445,577.00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Drake Helix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227,515.00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227,515.00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227,515.00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CDC Financial,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1,673,092.00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1,673,092.00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1,673,092.00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CLINT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1,673,092.00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1,673,092.00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1,673,092.00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 33401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Stoney Lonesome HF LP, a Delaware limited partnership ("Stoney Lonesome"), with respect to the shares of Common Stock, par value $0.01 per share, of the Issuer (the "Shares") directly and beneficially owned by it; (ii) Coghill Capital Management, LLC, a Delaware limited liability company ("CCM"), as the general partner of Stoney Lonesome; (iii) The Drake Helix Holdings, LLC, a Wyoming limited liability company ("Drake Helix"), with respect to the Shares directly and beneficially owned by it; (iv) CDC Financial, Inc., an Illinois corporation ("CDC Financial"), as the managing member of each of CCM and Drake Helix; and (v) Clint D. Coghill, as the President and sole shareholder of CDC Financial.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222 S Riverside Plaza, 15th Floor,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Each of Stoney Lonesome and CCM is organized under the laws of the State of Delaware. Drake Helix is organized under the laws of the State of Wyoming. CDC Financial is organized under the laws of the State of Illinois. Mr. Coghill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(i) Stoney Lonesome directly beneficially owned 1,445,577 Shares; (ii) CCM, as the general partner of Stoney Lonesome, may be deemed the beneficial owner of the 1,445,577 Shares directly beneficially owned by Stoney Lonesome; (iii) Drake Helix directly beneficially owned 227,515 Shares; (iv) CDC Financial, as the managing member of each of CCM and Drake Helix, may be deemed the beneficial owner of the 1,445,577 Shares directly beneficially owned by Stoney Lonesome and the 227,515 Shares directly beneficially owned by Drake Helix; and (v) Mr. Coghill, as the President and sole shareholder of CDC Financial, may be deemed the beneficial owner of the 1,445,577 Shares directly beneficially owned by Stoney Lonesome and the 227,515 Shares directly beneficially owned by Drake Helix. The filing of this Schedule 13G shall not be deemed an admission that the Reporting Persons are, for purposes of Section 13(d) of the Securities Exchange Act of 1934, as amended, the beneficial owners of any securities of the Issuer that such Reporting Person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23,528,844 Shares outstanding as of March 30, 2026, which is the total number of Shares outstanding as disclosed in the Issuer's Definitive Proxy Statement on Schedule 14A filed with the Securities and Exchange Commission on April 17, 2026. As of the close of business on March 31, 2026, (i) Stoney Lonesome beneficially owned approximately 6.1% of the outstanding Shares, (ii) CCM may be deemed to beneficially own approximately 6.1% of the outstanding Shares, (iii) Drake Helix beneficially owned approximately 1.0% of the outstanding Shares, (iv) CDC Financial may be deemed to beneficially own approximately 7.1% of the outstanding Shares and (v) Mr. Coghill may be deemed to beneficially own approximately 7.1%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February 10,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Stoney Lonesome HF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Clint D. Coghill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Clint D. Coghill, President and sole shareholder of the managing member of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COGHILL CAPITAL MANAGEMENT LLC</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Drake Helix Holdings,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CDC Financial, Inc.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Clint D. Coghill</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Clint D. Coghill, President and sole shareholder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COGHILL CLINT D</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Clint D. Coghill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Clint D. Coghill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1873</Words>
  <Characters>9692</Characters>
  <CharactersWithSpaces>11475</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