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Advanced Flower Capital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Stoney Lonesome HF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1,713,363.00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1,713,363.00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1,713,363.00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COGHILL CAPITAL MANAGEMENT LLC</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1,713,363.00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1,713,363.00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1,713,363.00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Drake Helix Holdings, LLC</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WYOMING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320,438.00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320,438.00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320,438.00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CDC Financial, Inc.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ILLINOIS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2,033,801.00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2,033,801.00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2,033,801.00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COGHILL CLINT 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2,033,801.00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2,033,801.00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2,033,801.00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55"/>
        <w:gridCol w:w="8895"/>
        <w:gridCol w:w="155"/>
      </w:tblGrid>
      <w:tr>
        <w:trPr/>
        <w:tc>
          <w:tcPr>
            <w:tcW w:w="1155" w:type="dxa"/>
            <w:tcBorders/>
            <w:vAlign w:val="center"/>
          </w:tcPr>
          <w:p>
            <w:pPr>
              <w:pStyle w:val="TableContents"/>
              <w:bidi w:val="0"/>
              <w:spacing w:before="0" w:after="283"/>
              <w:jc w:val="left"/>
              <w:rPr/>
            </w:pPr>
            <w:r>
              <w:rPr/>
              <w:t>Item 1.</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issuer: </w:t>
            </w:r>
          </w:p>
          <w:p>
            <w:pPr>
              <w:pStyle w:val="TableContents"/>
              <w:bidi w:val="0"/>
              <w:spacing w:before="0" w:after="0"/>
              <w:jc w:val="left"/>
              <w:rPr/>
            </w:pPr>
            <w:r>
              <w:rPr/>
              <w:t>Advanced Flower Capital Inc.</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477 S. ROSEMARY AVE., SUITE 301, WEST PALM BEACH, FL 33401</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2.</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Stoney Lonesome HF LP, a Delaware limited partnership ("Stoney Lonesome"), with respect to the shares of Common Stock, par value $0.01 per share, of the Issuer (the "Shares") directly and beneficially owned by it; (ii) Coghill Capital Management, LLC, a Delaware limited liability company ("CCM"), as the general partner of Stoney Lonesome; (iii) The Drake Helix Holdings, LLC, a Wyoming limited liability company ("Drake Helix"), with respect to the Shares directly and beneficially owned by it; (iv) CDC Financial, Inc., an Illinois corporation ("CDC Financial"), as the managing member of each of CCM and Drake Helix; and (v) Clint D. Coghill, as the President and sole shareholder of CDC Financial. Each of the foregoing is referred to as a "Reporting Person" and collectively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the Reporting Persons is 222 S Riverside Plaza, 15th Floor, Chicago, Illinois 60606.</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jc w:val="left"/>
              <w:rPr/>
            </w:pPr>
            <w:r>
              <w:rPr/>
              <w:t xml:space="preserve">Citizenship: </w:t>
            </w:r>
          </w:p>
          <w:p>
            <w:pPr>
              <w:pStyle w:val="TableContents"/>
              <w:bidi w:val="0"/>
              <w:spacing w:before="0" w:after="0"/>
              <w:jc w:val="left"/>
              <w:rPr/>
            </w:pPr>
            <w:r>
              <w:rPr/>
              <w:t>Each of Stoney Lonesome and CCM is organized under the laws of the State of Delaware. Drake Helix is organized under the laws of the State of Wyoming. CDC Financial is organized under the laws of the State of Illinois. Mr. Coghill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3.</w:t>
            </w:r>
          </w:p>
        </w:tc>
        <w:tc>
          <w:tcPr>
            <w:tcW w:w="889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(f)</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(g)</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(h)</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(j)</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(k)</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9050" w:type="dxa"/>
            <w:gridSpan w:val="2"/>
            <w:tcBorders/>
            <w:vAlign w:val="center"/>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4.</w:t>
            </w:r>
          </w:p>
        </w:tc>
        <w:tc>
          <w:tcPr>
            <w:tcW w:w="889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close of business on June 30, 2026: (i) Stoney Lonesome directly beneficially owned 1,713,363 Shares; (ii) CCM, as the general partner of Stoney Lonesome, may be deemed the beneficial owner of the 1,713,363 Shares directly beneficially owned by Stoney Lonesome; (iii) Drake Helix directly beneficially owned 320,438 Shares; (iv) CDC Financial, as the managing member of each of CCM and Drake Helix, may be deemed the beneficial owner of the 1,713,363 Shares directly beneficially owned by Stoney Lonesome and the 320,438 Shares directly beneficially owned by Drake Helix; and (v) Mr. Coghill, as the President and sole shareholder of CDC Financial, may be deemed the beneficial owner of the 1,713,363 Shares directly beneficially owned by Stoney Lonesome and the 320,438 Shares directly beneficially owned by Drake Helix. The filing of this Schedule 13G shall not be deemed an admission that the Reporting Persons are, for purposes of Section 13(d) of the Securities Exchange Act of 1934, as amended, the beneficial owners of any securities of the Issuer that such Reporting Person does not directly own. Each of the Reporting Persons specifically disclaims beneficial ownership of the securities reported herein that he or it does not directly own.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following percentages are based on 23,528,844 Shares outstanding as of May 1, 2026, which is the total number of Shares outstanding as disclosed in the Issuer's Quarterly Report on Form 10-Q filed with the Securities and Exchange Commission on May 7, 2026. As of the close of business on June 30, 2026, (i) Stoney Lonesome beneficially owned approximately 7.3% of the outstanding Shares, (ii) CCM may be deemed to beneficially own approximately 7.3% of the outstanding Shares, (iii) Drake Helix beneficially owned approximately 1.4% of the outstanding Shares, (iv) CDC Financial may be deemed to beneficially own approximately 8.6% of the outstanding Shares and (v) Mr. Coghill may be deemed to beneficially own approximately 8.6% of the outstanding Shares.  %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5.</w:t>
            </w:r>
          </w:p>
        </w:tc>
        <w:tc>
          <w:tcPr>
            <w:tcW w:w="889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6.</w:t>
            </w:r>
          </w:p>
        </w:tc>
        <w:tc>
          <w:tcPr>
            <w:tcW w:w="889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7.</w:t>
            </w:r>
          </w:p>
        </w:tc>
        <w:tc>
          <w:tcPr>
            <w:tcW w:w="889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8.</w:t>
            </w:r>
          </w:p>
        </w:tc>
        <w:tc>
          <w:tcPr>
            <w:tcW w:w="889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99.1 to the Schedule 13G filed by the Reporting Persons with the Securities and Exchange Commission on February 10, 2026.</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9.</w:t>
            </w:r>
          </w:p>
        </w:tc>
        <w:tc>
          <w:tcPr>
            <w:tcW w:w="889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82" w:type="dxa"/>
        <w:jc w:val="left"/>
        <w:tblInd w:w="0" w:type="dxa"/>
        <w:tblLayout w:type="fixed"/>
        <w:tblCellMar>
          <w:top w:w="28" w:type="dxa"/>
          <w:left w:w="28" w:type="dxa"/>
          <w:bottom w:w="28" w:type="dxa"/>
          <w:right w:w="28" w:type="dxa"/>
        </w:tblCellMar>
      </w:tblPr>
      <w:tblGrid>
        <w:gridCol w:w="2741"/>
        <w:gridCol w:w="2741"/>
      </w:tblGrid>
      <w:tr>
        <w:trPr/>
        <w:tc>
          <w:tcPr>
            <w:tcW w:w="2741" w:type="dxa"/>
            <w:tcBorders/>
            <w:vAlign w:val="center"/>
          </w:tcPr>
          <w:p>
            <w:pPr>
              <w:pStyle w:val="TableContents"/>
              <w:bidi w:val="0"/>
              <w:spacing w:before="0" w:after="0"/>
              <w:jc w:val="left"/>
              <w:rPr/>
            </w:pPr>
            <w:r>
              <w:rPr/>
              <w:t> </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0"/>
                    <w:jc w:val="left"/>
                    <w:rPr/>
                  </w:pPr>
                  <w:r>
                    <w:rPr/>
                    <w:t>Stoney Lonesome HF LP</w:t>
                  </w:r>
                </w:p>
              </w:tc>
            </w:tr>
          </w:tbl>
          <w:p>
            <w:pPr>
              <w:pStyle w:val="TableContents"/>
              <w:bidi w:val="0"/>
              <w:spacing w:before="0" w:after="283"/>
              <w:jc w:val="left"/>
              <w:rPr/>
            </w:pPr>
            <w:r>
              <w:rPr/>
            </w:r>
          </w:p>
        </w:tc>
        <w:tc>
          <w:tcPr>
            <w:tcW w:w="27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8"/>
        <w:gridCol w:w="4287"/>
      </w:tblGrid>
      <w:tr>
        <w:trPr/>
        <w:tc>
          <w:tcPr>
            <w:tcW w:w="59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Clint D. Coghill</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Clint D. Coghill, President and sole shareholder of the managing member of its general partner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287" w:type="dxa"/>
            <w:tcBorders/>
            <w:vAlign w:val="center"/>
          </w:tcPr>
          <w:p>
            <w:pPr>
              <w:pStyle w:val="TableContents"/>
              <w:bidi w:val="0"/>
              <w:spacing w:before="0" w:after="283"/>
              <w:jc w:val="left"/>
              <w:rPr>
                <w:sz w:val="4"/>
                <w:szCs w:val="4"/>
              </w:rPr>
            </w:pPr>
            <w:r>
              <w:rPr>
                <w:sz w:val="4"/>
                <w:szCs w:val="4"/>
              </w:rPr>
            </w:r>
          </w:p>
        </w:tc>
      </w:tr>
    </w:tbl>
    <w:tbl>
      <w:tblPr>
        <w:tblW w:w="9706" w:type="dxa"/>
        <w:jc w:val="left"/>
        <w:tblInd w:w="0" w:type="dxa"/>
        <w:tblLayout w:type="fixed"/>
        <w:tblCellMar>
          <w:top w:w="28" w:type="dxa"/>
          <w:left w:w="28" w:type="dxa"/>
          <w:bottom w:w="28" w:type="dxa"/>
          <w:right w:w="28" w:type="dxa"/>
        </w:tblCellMar>
      </w:tblPr>
      <w:tblGrid>
        <w:gridCol w:w="4853"/>
        <w:gridCol w:w="4853"/>
      </w:tblGrid>
      <w:tr>
        <w:trPr/>
        <w:tc>
          <w:tcPr>
            <w:tcW w:w="4853" w:type="dxa"/>
            <w:tcBorders/>
            <w:vAlign w:val="center"/>
          </w:tcPr>
          <w:p>
            <w:pPr>
              <w:pStyle w:val="TableContents"/>
              <w:bidi w:val="0"/>
              <w:spacing w:before="0" w:after="0"/>
              <w:jc w:val="left"/>
              <w:rPr/>
            </w:pPr>
            <w:r>
              <w:rPr/>
              <w:t> </w:t>
            </w:r>
          </w:p>
          <w:tbl>
            <w:tblPr>
              <w:tblW w:w="4696" w:type="dxa"/>
              <w:jc w:val="left"/>
              <w:tblInd w:w="0" w:type="dxa"/>
              <w:tblLayout w:type="fixed"/>
              <w:tblCellMar>
                <w:top w:w="28" w:type="dxa"/>
                <w:left w:w="28" w:type="dxa"/>
                <w:bottom w:w="28" w:type="dxa"/>
                <w:right w:w="28" w:type="dxa"/>
              </w:tblCellMar>
            </w:tblPr>
            <w:tblGrid>
              <w:gridCol w:w="4696"/>
            </w:tblGrid>
            <w:tr>
              <w:trPr/>
              <w:tc>
                <w:tcPr>
                  <w:tcW w:w="4696" w:type="dxa"/>
                  <w:tcBorders/>
                  <w:vAlign w:val="center"/>
                </w:tcPr>
                <w:p>
                  <w:pPr>
                    <w:pStyle w:val="TableContents"/>
                    <w:bidi w:val="0"/>
                    <w:spacing w:before="0" w:after="0"/>
                    <w:jc w:val="left"/>
                    <w:rPr/>
                  </w:pPr>
                  <w:r>
                    <w:rPr/>
                    <w:t>COGHILL CAPITAL MANAGEMENT LLC</w:t>
                  </w:r>
                </w:p>
              </w:tc>
            </w:tr>
          </w:tbl>
          <w:p>
            <w:pPr>
              <w:pStyle w:val="TableContents"/>
              <w:bidi w:val="0"/>
              <w:spacing w:before="0" w:after="283"/>
              <w:jc w:val="left"/>
              <w:rPr/>
            </w:pPr>
            <w:r>
              <w:rPr/>
            </w:r>
          </w:p>
        </w:tc>
        <w:tc>
          <w:tcPr>
            <w:tcW w:w="48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3"/>
        <w:gridCol w:w="4282"/>
      </w:tblGrid>
      <w:tr>
        <w:trPr/>
        <w:tc>
          <w:tcPr>
            <w:tcW w:w="59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Clint D. Coghill</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Clint D. Coghill, President and sole shareholder of its managing member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282" w:type="dxa"/>
            <w:tcBorders/>
            <w:vAlign w:val="center"/>
          </w:tcPr>
          <w:p>
            <w:pPr>
              <w:pStyle w:val="TableContents"/>
              <w:bidi w:val="0"/>
              <w:spacing w:before="0" w:after="283"/>
              <w:jc w:val="left"/>
              <w:rPr>
                <w:sz w:val="4"/>
                <w:szCs w:val="4"/>
              </w:rPr>
            </w:pPr>
            <w:r>
              <w:rPr>
                <w:sz w:val="4"/>
                <w:szCs w:val="4"/>
              </w:rPr>
            </w:r>
          </w:p>
        </w:tc>
      </w:tr>
    </w:tbl>
    <w:tbl>
      <w:tblPr>
        <w:tblW w:w="5972" w:type="dxa"/>
        <w:jc w:val="left"/>
        <w:tblInd w:w="0" w:type="dxa"/>
        <w:tblLayout w:type="fixed"/>
        <w:tblCellMar>
          <w:top w:w="28" w:type="dxa"/>
          <w:left w:w="28" w:type="dxa"/>
          <w:bottom w:w="28" w:type="dxa"/>
          <w:right w:w="28" w:type="dxa"/>
        </w:tblCellMar>
      </w:tblPr>
      <w:tblGrid>
        <w:gridCol w:w="2986"/>
        <w:gridCol w:w="2986"/>
      </w:tblGrid>
      <w:tr>
        <w:trPr/>
        <w:tc>
          <w:tcPr>
            <w:tcW w:w="2986" w:type="dxa"/>
            <w:tcBorders/>
            <w:vAlign w:val="center"/>
          </w:tcPr>
          <w:p>
            <w:pPr>
              <w:pStyle w:val="TableContents"/>
              <w:bidi w:val="0"/>
              <w:spacing w:before="0" w:after="0"/>
              <w:jc w:val="left"/>
              <w:rPr/>
            </w:pPr>
            <w:r>
              <w:rPr/>
              <w:t> </w:t>
            </w:r>
          </w:p>
          <w:tbl>
            <w:tblPr>
              <w:tblW w:w="2851" w:type="dxa"/>
              <w:jc w:val="left"/>
              <w:tblInd w:w="0" w:type="dxa"/>
              <w:tblLayout w:type="fixed"/>
              <w:tblCellMar>
                <w:top w:w="28" w:type="dxa"/>
                <w:left w:w="28" w:type="dxa"/>
                <w:bottom w:w="28" w:type="dxa"/>
                <w:right w:w="28" w:type="dxa"/>
              </w:tblCellMar>
            </w:tblPr>
            <w:tblGrid>
              <w:gridCol w:w="2851"/>
            </w:tblGrid>
            <w:tr>
              <w:trPr/>
              <w:tc>
                <w:tcPr>
                  <w:tcW w:w="2851" w:type="dxa"/>
                  <w:tcBorders/>
                  <w:vAlign w:val="center"/>
                </w:tcPr>
                <w:p>
                  <w:pPr>
                    <w:pStyle w:val="TableContents"/>
                    <w:bidi w:val="0"/>
                    <w:spacing w:before="0" w:after="0"/>
                    <w:jc w:val="left"/>
                    <w:rPr/>
                  </w:pPr>
                  <w:r>
                    <w:rPr/>
                    <w:t>Drake Helix Holdings, LLC</w:t>
                  </w:r>
                </w:p>
              </w:tc>
            </w:tr>
          </w:tbl>
          <w:p>
            <w:pPr>
              <w:pStyle w:val="TableContents"/>
              <w:bidi w:val="0"/>
              <w:spacing w:before="0" w:after="283"/>
              <w:jc w:val="left"/>
              <w:rPr/>
            </w:pPr>
            <w:r>
              <w:rPr/>
            </w:r>
          </w:p>
        </w:tc>
        <w:tc>
          <w:tcPr>
            <w:tcW w:w="29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3"/>
        <w:gridCol w:w="4282"/>
      </w:tblGrid>
      <w:tr>
        <w:trPr/>
        <w:tc>
          <w:tcPr>
            <w:tcW w:w="59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Clint D. Coghill</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Clint D. Coghill, President and sole shareholder of its managing member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282" w:type="dxa"/>
            <w:tcBorders/>
            <w:vAlign w:val="center"/>
          </w:tcPr>
          <w:p>
            <w:pPr>
              <w:pStyle w:val="TableContents"/>
              <w:bidi w:val="0"/>
              <w:spacing w:before="0" w:after="283"/>
              <w:jc w:val="left"/>
              <w:rPr>
                <w:sz w:val="4"/>
                <w:szCs w:val="4"/>
              </w:rPr>
            </w:pPr>
            <w:r>
              <w:rPr>
                <w:sz w:val="4"/>
                <w:szCs w:val="4"/>
              </w:rPr>
            </w:r>
          </w:p>
        </w:tc>
      </w:tr>
    </w:tbl>
    <w:tbl>
      <w:tblPr>
        <w:tblW w:w="4416" w:type="dxa"/>
        <w:jc w:val="left"/>
        <w:tblInd w:w="0" w:type="dxa"/>
        <w:tblLayout w:type="fixed"/>
        <w:tblCellMar>
          <w:top w:w="28" w:type="dxa"/>
          <w:left w:w="28" w:type="dxa"/>
          <w:bottom w:w="28" w:type="dxa"/>
          <w:right w:w="28" w:type="dxa"/>
        </w:tblCellMar>
      </w:tblPr>
      <w:tblGrid>
        <w:gridCol w:w="2208"/>
        <w:gridCol w:w="2208"/>
      </w:tblGrid>
      <w:tr>
        <w:trPr/>
        <w:tc>
          <w:tcPr>
            <w:tcW w:w="2208" w:type="dxa"/>
            <w:tcBorders/>
            <w:vAlign w:val="center"/>
          </w:tcPr>
          <w:p>
            <w:pPr>
              <w:pStyle w:val="TableContents"/>
              <w:bidi w:val="0"/>
              <w:spacing w:before="0" w:after="0"/>
              <w:jc w:val="left"/>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0"/>
                    <w:jc w:val="left"/>
                    <w:rPr/>
                  </w:pPr>
                  <w:r>
                    <w:rPr/>
                    <w:t>CDC Financial, Inc.</w:t>
                  </w:r>
                </w:p>
              </w:tc>
            </w:tr>
          </w:tbl>
          <w:p>
            <w:pPr>
              <w:pStyle w:val="TableContents"/>
              <w:bidi w:val="0"/>
              <w:spacing w:before="0" w:after="283"/>
              <w:jc w:val="left"/>
              <w:rPr/>
            </w:pPr>
            <w:r>
              <w:rPr/>
            </w:r>
          </w:p>
        </w:tc>
        <w:tc>
          <w:tcPr>
            <w:tcW w:w="22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Clint D. Coghill</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Clint D. Coghill, President and sole shareholder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4756" w:type="dxa"/>
        <w:jc w:val="left"/>
        <w:tblInd w:w="0" w:type="dxa"/>
        <w:tblLayout w:type="fixed"/>
        <w:tblCellMar>
          <w:top w:w="28" w:type="dxa"/>
          <w:left w:w="28" w:type="dxa"/>
          <w:bottom w:w="28" w:type="dxa"/>
          <w:right w:w="28" w:type="dxa"/>
        </w:tblCellMar>
      </w:tblPr>
      <w:tblGrid>
        <w:gridCol w:w="2378"/>
        <w:gridCol w:w="2378"/>
      </w:tblGrid>
      <w:tr>
        <w:trPr/>
        <w:tc>
          <w:tcPr>
            <w:tcW w:w="2378" w:type="dxa"/>
            <w:tcBorders/>
            <w:vAlign w:val="center"/>
          </w:tcPr>
          <w:p>
            <w:pPr>
              <w:pStyle w:val="TableContents"/>
              <w:bidi w:val="0"/>
              <w:spacing w:before="0" w:after="0"/>
              <w:jc w:val="left"/>
              <w:rPr/>
            </w:pPr>
            <w:r>
              <w:rPr/>
              <w:t> </w:t>
            </w:r>
          </w:p>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0"/>
                    <w:jc w:val="left"/>
                    <w:rPr/>
                  </w:pPr>
                  <w:r>
                    <w:rPr/>
                    <w:t>COGHILL CLINT D</w:t>
                  </w:r>
                </w:p>
              </w:tc>
            </w:tr>
          </w:tbl>
          <w:p>
            <w:pPr>
              <w:pStyle w:val="TableContents"/>
              <w:bidi w:val="0"/>
              <w:spacing w:before="0" w:after="283"/>
              <w:jc w:val="left"/>
              <w:rPr/>
            </w:pPr>
            <w:r>
              <w:rPr/>
            </w:r>
          </w:p>
        </w:tc>
        <w:tc>
          <w:tcPr>
            <w:tcW w:w="23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1"/>
        <w:gridCol w:w="4434"/>
      </w:tblGrid>
      <w:tr>
        <w:trPr/>
        <w:tc>
          <w:tcPr>
            <w:tcW w:w="57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Clint D. Coghill</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Clint D. Coghill</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43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1872</Words>
  <Characters>9670</Characters>
  <CharactersWithSpaces>11452</CharactersWithSpaces>
  <Paragraphs>346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